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jc w:val="center"/>
        <w:rPr>
          <w:rFonts w:ascii="Times New Roman" w:hAnsi="Times New Roman" w:cs="Times New Roman"/>
          <w:sz w:val="24"/>
          <w:szCs w:val="24"/>
        </w:rPr>
      </w:pPr>
      <w:r w:rsidRPr="00B73DE7">
        <w:rPr>
          <w:rFonts w:ascii="Times New Roman" w:hAnsi="Times New Roman" w:cs="Times New Roman"/>
          <w:sz w:val="24"/>
          <w:szCs w:val="24"/>
        </w:rPr>
        <w:t>Healthcare Reimbursement</w:t>
      </w:r>
    </w:p>
    <w:p w:rsidR="00B73DE7" w:rsidRPr="00B73DE7" w:rsidRDefault="00B73DE7" w:rsidP="00B73DE7">
      <w:pPr>
        <w:spacing w:line="480" w:lineRule="auto"/>
        <w:ind w:firstLine="720"/>
        <w:jc w:val="center"/>
        <w:rPr>
          <w:rFonts w:ascii="Times New Roman" w:hAnsi="Times New Roman" w:cs="Times New Roman"/>
          <w:sz w:val="24"/>
          <w:szCs w:val="24"/>
        </w:rPr>
      </w:pPr>
      <w:r w:rsidRPr="00B73DE7">
        <w:rPr>
          <w:rFonts w:ascii="Times New Roman" w:hAnsi="Times New Roman" w:cs="Times New Roman"/>
          <w:sz w:val="24"/>
          <w:szCs w:val="24"/>
        </w:rPr>
        <w:t>Name:</w:t>
      </w:r>
    </w:p>
    <w:p w:rsidR="00B73DE7" w:rsidRPr="00B73DE7" w:rsidRDefault="00B73DE7" w:rsidP="00B73DE7">
      <w:pPr>
        <w:spacing w:line="480" w:lineRule="auto"/>
        <w:ind w:firstLine="720"/>
        <w:jc w:val="center"/>
        <w:rPr>
          <w:rFonts w:ascii="Times New Roman" w:hAnsi="Times New Roman" w:cs="Times New Roman"/>
          <w:sz w:val="24"/>
          <w:szCs w:val="24"/>
        </w:rPr>
      </w:pPr>
      <w:r w:rsidRPr="00B73DE7">
        <w:rPr>
          <w:rFonts w:ascii="Times New Roman" w:hAnsi="Times New Roman" w:cs="Times New Roman"/>
          <w:sz w:val="24"/>
          <w:szCs w:val="24"/>
        </w:rPr>
        <w:t>Institutional Affiliation:</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 </w:t>
      </w:r>
    </w:p>
    <w:p w:rsidR="00B73DE7" w:rsidRDefault="00B73DE7" w:rsidP="00B73DE7">
      <w:pPr>
        <w:spacing w:line="480" w:lineRule="auto"/>
        <w:ind w:firstLine="720"/>
        <w:rPr>
          <w:rFonts w:ascii="Times New Roman" w:hAnsi="Times New Roman" w:cs="Times New Roman"/>
          <w:b/>
          <w:sz w:val="24"/>
          <w:szCs w:val="24"/>
        </w:rPr>
      </w:pPr>
    </w:p>
    <w:p w:rsidR="00B73DE7" w:rsidRDefault="00B73DE7" w:rsidP="00B73DE7">
      <w:pPr>
        <w:spacing w:line="480" w:lineRule="auto"/>
        <w:ind w:firstLine="720"/>
        <w:rPr>
          <w:rFonts w:ascii="Times New Roman" w:hAnsi="Times New Roman" w:cs="Times New Roman"/>
          <w:b/>
          <w:sz w:val="24"/>
          <w:szCs w:val="24"/>
        </w:rPr>
      </w:pPr>
    </w:p>
    <w:p w:rsidR="00B73DE7" w:rsidRDefault="00B73DE7" w:rsidP="00B73DE7">
      <w:pPr>
        <w:spacing w:line="480" w:lineRule="auto"/>
        <w:ind w:firstLine="720"/>
        <w:rPr>
          <w:rFonts w:ascii="Times New Roman" w:hAnsi="Times New Roman" w:cs="Times New Roman"/>
          <w:b/>
          <w:sz w:val="24"/>
          <w:szCs w:val="24"/>
        </w:rPr>
      </w:pPr>
    </w:p>
    <w:p w:rsidR="00B73DE7" w:rsidRDefault="00B73DE7" w:rsidP="00B73DE7">
      <w:pPr>
        <w:spacing w:line="480" w:lineRule="auto"/>
        <w:ind w:firstLine="720"/>
        <w:rPr>
          <w:rFonts w:ascii="Times New Roman" w:hAnsi="Times New Roman" w:cs="Times New Roman"/>
          <w:b/>
          <w:sz w:val="24"/>
          <w:szCs w:val="24"/>
        </w:rPr>
      </w:pPr>
    </w:p>
    <w:p w:rsidR="00B73DE7" w:rsidRDefault="00B73DE7" w:rsidP="00B73DE7">
      <w:pPr>
        <w:spacing w:line="480" w:lineRule="auto"/>
        <w:ind w:firstLine="720"/>
        <w:rPr>
          <w:rFonts w:ascii="Times New Roman" w:hAnsi="Times New Roman" w:cs="Times New Roman"/>
          <w:b/>
          <w:sz w:val="24"/>
          <w:szCs w:val="24"/>
        </w:rPr>
      </w:pPr>
    </w:p>
    <w:p w:rsidR="00B73DE7" w:rsidRDefault="00B73DE7" w:rsidP="00B73DE7">
      <w:pPr>
        <w:spacing w:line="480" w:lineRule="auto"/>
        <w:ind w:firstLine="720"/>
        <w:rPr>
          <w:rFonts w:ascii="Times New Roman" w:hAnsi="Times New Roman" w:cs="Times New Roman"/>
          <w:b/>
          <w:sz w:val="24"/>
          <w:szCs w:val="24"/>
        </w:rPr>
      </w:pPr>
    </w:p>
    <w:p w:rsidR="00B73DE7" w:rsidRPr="00B73DE7" w:rsidRDefault="00B73DE7" w:rsidP="00B73DE7">
      <w:pPr>
        <w:spacing w:line="480" w:lineRule="auto"/>
        <w:ind w:firstLine="720"/>
        <w:jc w:val="center"/>
        <w:rPr>
          <w:rFonts w:ascii="Times New Roman" w:hAnsi="Times New Roman" w:cs="Times New Roman"/>
          <w:b/>
          <w:sz w:val="24"/>
          <w:szCs w:val="24"/>
        </w:rPr>
      </w:pPr>
      <w:r w:rsidRPr="00B73DE7">
        <w:rPr>
          <w:rFonts w:ascii="Times New Roman" w:hAnsi="Times New Roman" w:cs="Times New Roman"/>
          <w:b/>
          <w:sz w:val="24"/>
          <w:szCs w:val="24"/>
        </w:rPr>
        <w:lastRenderedPageBreak/>
        <w:t>Healthcare Reimbursement</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Health reimbursement program is a health arrangement plan that aims at benefitting the employees for the medical incidentals. The program differs from the traditional welfares slightly in that the health organization outlines the reimbursements available rather than choosing and running for medical insurance. Health care reimbursement programs have in the recent past gained popularity since the employees are free to engage with the coverage of their own choice and later get reimbursed for the expenses they have undergone (Starfield, 2003). Health reimbursement arrangement is also denoted as a health reimbursement account since the account involved in reimbursement is tax-advantaged and tends to cater for out-of-pocket health expenses as well as distinct insurance premiums. The healthcare reimbursement program is exclusively underwritten by the employer who is also capable of determining the supreme yearly contribution for every employee’s health reimbursement account. All the unused reimbursement finances can be rolled over to the succeeding year even though there exist a maximum rollover bound that is out to be carried on to the ensuing year.</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Many countries embrace the national healthcare program that caters to the medical expenses of their citizens. The finances from the national healthcare programs sometimes seem not to cater to all the needs of the healthcare facilities, and hence distinct health facilities outsource financial aid in multiple ways. These include:</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1.    Government Aid</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 xml:space="preserve">The government assists the healthcare department by providing it with revenue through grants and subsidies. It also provides the health department with returns for the healthcare plans such as Medicaid as well as Medicare (Riley, 2009). The citizens provide the healthcare support </w:t>
      </w:r>
      <w:r w:rsidRPr="00B73DE7">
        <w:rPr>
          <w:rFonts w:ascii="Times New Roman" w:hAnsi="Times New Roman" w:cs="Times New Roman"/>
          <w:sz w:val="24"/>
          <w:szCs w:val="24"/>
        </w:rPr>
        <w:lastRenderedPageBreak/>
        <w:t xml:space="preserve">in an indirect way through paying taxes and other salary deductions although the ruling régime also pirates finances as a fragment of the country’s budget. Both the government and the federal generate such healthcare finances in the same way. </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2.    Direct Payment out of Pocket</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The private healthcare patients are the major contributors to healthcare revenues. Patients pay in cash for the health services they receive at the health facilities that is out of their pockets most probably when they visit the hospitals without the assistance of the third party. The amount of money the health facility receives from patients depends on the rates that the health facility has already set. In many instances, the healthcare reform movements focus on ways to reduce the amount of cash the patients have to cough once they visit the healthcare facilities.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3.    Premiums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The insurance companies that have specialized programs that cater for the healthcare services tend to operate on a fundamental principle that someone will be well more than they will be sick and hence they happen to earn more on premiums than they usually end up disbursing out. The amount of money the insurance companies recompenses the healthcare facilities solely resource it from premiums that the health policyholders pay to the company.</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4.    Private Donations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 xml:space="preserve">Sometimes individuals, as well as corporations, donate revenue in the form of cash to healthcare providers. These corporations and the individuals could either firmly believe in the services of a particular facility or they may be in quest of tax deduction from for their philanthropic hints. Classically, such types of funding and donations do not occur by mere chance. As an alternative, the health facility administrators typically lobby for the funding from </w:t>
      </w:r>
      <w:r w:rsidRPr="00B73DE7">
        <w:rPr>
          <w:rFonts w:ascii="Times New Roman" w:hAnsi="Times New Roman" w:cs="Times New Roman"/>
          <w:sz w:val="24"/>
          <w:szCs w:val="24"/>
        </w:rPr>
        <w:lastRenderedPageBreak/>
        <w:t>within the surrounding community. This is a very unpredictable and unstable source of hospital revenue since the healthcare administration is incapable of guaranteeing that the same amount of donation and funding will be honored from one year to another (Riley, 2009). However, the management can make some estimates depending on the previous records of contributions.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Dynamic Strategies due to Environmental Forces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Although there exist many uncertainties as far as the future of healthcare is concerned, some things are sure bets, i.e. accountable care, quantifiable integrated networks, populace health management as well as a swing in focus from outpatient to inpatient services. To retain afloat on the turbulent waters, the healthcare department requires a sturdy rudder, a nice compass as well as an up to date map or rather a comprehensive strategic plan.  A healthcare facility needs to embrace quick moves on minor issues such as an elastic staffing level as well as minor training matters. Although at the macro end of all the situations, proactiveness could be a viable solution to the unpredicted shortcomings. Setting value-based approaches is an inevitable plan that a health facility cannot afford to ignore since it is a strategy that allows any given company to jump and grab any opportunity as one arises (Kongstvedt, 2012). For instance, a health facility can begin by incorporating some form of prepayment models i.e. the capitated costs for populace health management which is a financial plan that is capable of accommodating premiums.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 xml:space="preserve">A health facility cannot evade the strategic plan of expanding their premises or rather building mergers as a response to requests for proposals. The management ought to be ready to make corporate decisions in case an acquisition opportunity suddenly comes up (Harrison, 2012).  Embracing a strategic plan smears the organization with the context in contradiction of which to scrutinize the potentiality in the ambulatory care setting which is where every healthcare facility </w:t>
      </w:r>
      <w:r w:rsidRPr="00B73DE7">
        <w:rPr>
          <w:rFonts w:ascii="Times New Roman" w:hAnsi="Times New Roman" w:cs="Times New Roman"/>
          <w:sz w:val="24"/>
          <w:szCs w:val="24"/>
        </w:rPr>
        <w:lastRenderedPageBreak/>
        <w:t xml:space="preserve">looks forward to growing shortly. For instance, the management at large should be preparing to encircle the imaging centers that are capable of fast-tracking at the end tail. The whole management body should always set aside emergency finances that should be ready just in case the national healthcare approves any changes in the medical department.   </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Growth as a strategy focuses on the exertions by the companies with the aim of expanding their services and eventually, their income and mission. In a bazaar that has future direction, as well as the competitive guidelines of the commerce, are generally precise and clear, the ones that have the highest growing capability rates wins (Harrison, 2012). Regarding growth strategies, healthcare facilities ought to look at it on different perception including those of payor mix, volume, new markets, reputation, additional geographies, and the span of services as well as specific population.  A company eyeing a marginal increase has two chief options: increasing income with growth or saving via cutting costs. An organization may consider growth, and at the same time, two aspects have to be put into consideration. Nevertheless, this might not be the matter as savings are capable of putting the association with the patients in great jeopardy and hence may lead to a marginal decrease while drastic growth is capable of enhancing the relationship hence sustaining the intended increase. Additionally, while cost-cutting may entirely seem to be an internal operation, unescapably client’s satisfaction may be highly affected possibly through abridged patient services, long waits or at times discontinued services (Posner, 2014). Such implications barely encourage loyalty of the clients which can eventually result in stunting a business growth approximately by 50 percent.</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 </w:t>
      </w:r>
    </w:p>
    <w:p w:rsidR="00B73DE7" w:rsidRDefault="00B73DE7" w:rsidP="00B73DE7">
      <w:pPr>
        <w:spacing w:line="480" w:lineRule="auto"/>
        <w:ind w:firstLine="720"/>
        <w:jc w:val="center"/>
        <w:rPr>
          <w:rFonts w:ascii="Times New Roman" w:hAnsi="Times New Roman" w:cs="Times New Roman"/>
          <w:sz w:val="24"/>
          <w:szCs w:val="24"/>
        </w:rPr>
      </w:pPr>
    </w:p>
    <w:p w:rsidR="00B73DE7" w:rsidRPr="00B73DE7" w:rsidRDefault="00B73DE7" w:rsidP="00B73DE7">
      <w:pPr>
        <w:spacing w:line="480" w:lineRule="auto"/>
        <w:ind w:firstLine="720"/>
        <w:jc w:val="center"/>
        <w:rPr>
          <w:rFonts w:ascii="Times New Roman" w:hAnsi="Times New Roman" w:cs="Times New Roman"/>
          <w:sz w:val="24"/>
          <w:szCs w:val="24"/>
        </w:rPr>
      </w:pPr>
      <w:r w:rsidRPr="00B73DE7">
        <w:rPr>
          <w:rFonts w:ascii="Times New Roman" w:hAnsi="Times New Roman" w:cs="Times New Roman"/>
          <w:sz w:val="24"/>
          <w:szCs w:val="24"/>
        </w:rPr>
        <w:lastRenderedPageBreak/>
        <w:t>Reference</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Harrison, C., &amp; Harrison, W. P. (2012). Introduction to Health Care Finance and Accounting. Cengage Learning.</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Kongstvedt, P. R. (2012). Essentials of managed health care. Jones &amp; Bartlett Publishers.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Macinko, J., Starfield, B., &amp; Shi, L. (2003). The contribution of primary care systems to health outcomes within Organization for Economic Cooperation and Development (OECD) countries, 1970–1998. Health services research, 38(3), 831-865.</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Posner, R. A. (2014). Economic analysis of law. Wolters Kluwer Law &amp; Business.</w:t>
      </w:r>
    </w:p>
    <w:p w:rsidR="00B73DE7" w:rsidRPr="00B73DE7" w:rsidRDefault="00B73DE7" w:rsidP="00B73DE7">
      <w:pPr>
        <w:spacing w:line="480" w:lineRule="auto"/>
        <w:ind w:firstLine="720"/>
        <w:rPr>
          <w:rFonts w:ascii="Times New Roman" w:hAnsi="Times New Roman" w:cs="Times New Roman"/>
          <w:sz w:val="24"/>
          <w:szCs w:val="24"/>
        </w:rPr>
      </w:pPr>
      <w:r w:rsidRPr="00B73DE7">
        <w:rPr>
          <w:rFonts w:ascii="Times New Roman" w:hAnsi="Times New Roman" w:cs="Times New Roman"/>
          <w:sz w:val="24"/>
          <w:szCs w:val="24"/>
        </w:rPr>
        <w:t>Riley, G. F. (2009). Administrative and claims record as sources of health care cost data. Medical care, 47(7_Supplement_1), S51-S55.</w:t>
      </w:r>
    </w:p>
    <w:p w:rsidR="00B73DE7" w:rsidRPr="00B73DE7" w:rsidRDefault="00B73DE7" w:rsidP="00B73DE7">
      <w:pPr>
        <w:spacing w:line="480" w:lineRule="auto"/>
        <w:ind w:firstLine="720"/>
        <w:rPr>
          <w:rFonts w:ascii="Times New Roman" w:hAnsi="Times New Roman" w:cs="Times New Roman"/>
          <w:sz w:val="24"/>
          <w:szCs w:val="24"/>
        </w:rPr>
      </w:pPr>
    </w:p>
    <w:p w:rsidR="00B73DE7" w:rsidRPr="00B73DE7" w:rsidRDefault="00B73DE7" w:rsidP="00B73DE7">
      <w:pPr>
        <w:spacing w:line="480" w:lineRule="auto"/>
        <w:ind w:firstLine="720"/>
        <w:rPr>
          <w:rFonts w:ascii="Times New Roman" w:hAnsi="Times New Roman" w:cs="Times New Roman"/>
          <w:sz w:val="24"/>
          <w:szCs w:val="24"/>
        </w:rPr>
      </w:pPr>
    </w:p>
    <w:p w:rsidR="00480884" w:rsidRPr="00B73DE7" w:rsidRDefault="00480884" w:rsidP="00B73DE7">
      <w:pPr>
        <w:spacing w:line="480" w:lineRule="auto"/>
        <w:ind w:firstLine="720"/>
        <w:rPr>
          <w:szCs w:val="24"/>
        </w:rPr>
      </w:pPr>
    </w:p>
    <w:sectPr w:rsidR="00480884" w:rsidRPr="00B73DE7" w:rsidSect="005919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5E3A" w:rsidRDefault="00295E3A" w:rsidP="00125DFB">
      <w:pPr>
        <w:spacing w:after="0" w:line="240" w:lineRule="auto"/>
      </w:pPr>
      <w:r>
        <w:separator/>
      </w:r>
    </w:p>
  </w:endnote>
  <w:endnote w:type="continuationSeparator" w:id="1">
    <w:p w:rsidR="00295E3A" w:rsidRDefault="00295E3A" w:rsidP="00125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5E3A" w:rsidRDefault="00295E3A" w:rsidP="00125DFB">
      <w:pPr>
        <w:spacing w:after="0" w:line="240" w:lineRule="auto"/>
      </w:pPr>
      <w:r>
        <w:separator/>
      </w:r>
    </w:p>
  </w:footnote>
  <w:footnote w:type="continuationSeparator" w:id="1">
    <w:p w:rsidR="00295E3A" w:rsidRDefault="00295E3A" w:rsidP="00125D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FB" w:rsidRDefault="004F3536" w:rsidP="004839A4">
    <w:pPr>
      <w:pStyle w:val="Header"/>
      <w:spacing w:line="480" w:lineRule="auto"/>
      <w:jc w:val="right"/>
    </w:pPr>
    <w:r w:rsidRPr="004839A4">
      <w:rPr>
        <w:rFonts w:ascii="Times New Roman" w:hAnsi="Times New Roman" w:cs="Times New Roman"/>
        <w:sz w:val="24"/>
        <w:szCs w:val="24"/>
      </w:rPr>
      <w:t>HEALTHCARE REIMBURSEMENT</w:t>
    </w:r>
    <w:r w:rsidR="004839A4">
      <w:tab/>
    </w:r>
    <w:r w:rsidR="004839A4">
      <w:tab/>
    </w:r>
    <w:sdt>
      <w:sdtPr>
        <w:id w:val="-1746873782"/>
        <w:docPartObj>
          <w:docPartGallery w:val="Page Numbers (Top of Page)"/>
          <w:docPartUnique/>
        </w:docPartObj>
      </w:sdtPr>
      <w:sdtEndPr>
        <w:rPr>
          <w:noProof/>
        </w:rPr>
      </w:sdtEndPr>
      <w:sdtContent>
        <w:r w:rsidR="00A35E11">
          <w:fldChar w:fldCharType="begin"/>
        </w:r>
        <w:r w:rsidR="00125DFB">
          <w:instrText xml:space="preserve"> PAGE   \* MERGEFORMAT </w:instrText>
        </w:r>
        <w:r w:rsidR="00A35E11">
          <w:fldChar w:fldCharType="separate"/>
        </w:r>
        <w:r w:rsidR="00B73DE7">
          <w:rPr>
            <w:noProof/>
          </w:rPr>
          <w:t>2</w:t>
        </w:r>
        <w:r w:rsidR="00A35E11">
          <w:rPr>
            <w:noProof/>
          </w:rPr>
          <w:fldChar w:fldCharType="end"/>
        </w:r>
      </w:sdtContent>
    </w:sdt>
  </w:p>
  <w:p w:rsidR="00125DFB" w:rsidRDefault="00125D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D5" w:rsidRPr="005919D5" w:rsidRDefault="005919D5">
    <w:pPr>
      <w:pStyle w:val="Header"/>
      <w:jc w:val="right"/>
      <w:rPr>
        <w:rFonts w:ascii="Times New Roman" w:hAnsi="Times New Roman" w:cs="Times New Roman"/>
        <w:sz w:val="24"/>
        <w:szCs w:val="24"/>
      </w:rPr>
    </w:pPr>
    <w:r w:rsidRPr="005919D5">
      <w:rPr>
        <w:rFonts w:ascii="Times New Roman" w:hAnsi="Times New Roman" w:cs="Times New Roman"/>
        <w:sz w:val="24"/>
        <w:szCs w:val="24"/>
      </w:rPr>
      <w:t xml:space="preserve">Running Head: </w:t>
    </w:r>
    <w:r w:rsidR="004F3536" w:rsidRPr="005919D5">
      <w:rPr>
        <w:rFonts w:ascii="Times New Roman" w:hAnsi="Times New Roman" w:cs="Times New Roman"/>
        <w:sz w:val="24"/>
        <w:szCs w:val="24"/>
      </w:rPr>
      <w:t xml:space="preserve">HEALTHCARE REIMBURSEMENT </w:t>
    </w:r>
    <w:r w:rsidRPr="005919D5">
      <w:rPr>
        <w:rFonts w:ascii="Times New Roman" w:hAnsi="Times New Roman" w:cs="Times New Roman"/>
        <w:sz w:val="24"/>
        <w:szCs w:val="24"/>
      </w:rPr>
      <w:tab/>
    </w:r>
    <w:r w:rsidRPr="005919D5">
      <w:rPr>
        <w:rFonts w:ascii="Times New Roman" w:hAnsi="Times New Roman" w:cs="Times New Roman"/>
        <w:sz w:val="24"/>
        <w:szCs w:val="24"/>
      </w:rPr>
      <w:tab/>
    </w:r>
    <w:sdt>
      <w:sdtPr>
        <w:rPr>
          <w:rFonts w:ascii="Times New Roman" w:hAnsi="Times New Roman" w:cs="Times New Roman"/>
          <w:sz w:val="24"/>
          <w:szCs w:val="24"/>
        </w:rPr>
        <w:id w:val="-1778869061"/>
        <w:docPartObj>
          <w:docPartGallery w:val="Page Numbers (Top of Page)"/>
          <w:docPartUnique/>
        </w:docPartObj>
      </w:sdtPr>
      <w:sdtEndPr>
        <w:rPr>
          <w:noProof/>
        </w:rPr>
      </w:sdtEndPr>
      <w:sdtContent>
        <w:r w:rsidR="00A35E11" w:rsidRPr="005919D5">
          <w:rPr>
            <w:rFonts w:ascii="Times New Roman" w:hAnsi="Times New Roman" w:cs="Times New Roman"/>
            <w:sz w:val="24"/>
            <w:szCs w:val="24"/>
          </w:rPr>
          <w:fldChar w:fldCharType="begin"/>
        </w:r>
        <w:r w:rsidRPr="005919D5">
          <w:rPr>
            <w:rFonts w:ascii="Times New Roman" w:hAnsi="Times New Roman" w:cs="Times New Roman"/>
            <w:sz w:val="24"/>
            <w:szCs w:val="24"/>
          </w:rPr>
          <w:instrText xml:space="preserve"> PAGE   \* MERGEFORMAT </w:instrText>
        </w:r>
        <w:r w:rsidR="00A35E11" w:rsidRPr="005919D5">
          <w:rPr>
            <w:rFonts w:ascii="Times New Roman" w:hAnsi="Times New Roman" w:cs="Times New Roman"/>
            <w:sz w:val="24"/>
            <w:szCs w:val="24"/>
          </w:rPr>
          <w:fldChar w:fldCharType="separate"/>
        </w:r>
        <w:r w:rsidR="00B73DE7">
          <w:rPr>
            <w:rFonts w:ascii="Times New Roman" w:hAnsi="Times New Roman" w:cs="Times New Roman"/>
            <w:noProof/>
            <w:sz w:val="24"/>
            <w:szCs w:val="24"/>
          </w:rPr>
          <w:t>1</w:t>
        </w:r>
        <w:r w:rsidR="00A35E11" w:rsidRPr="005919D5">
          <w:rPr>
            <w:rFonts w:ascii="Times New Roman" w:hAnsi="Times New Roman" w:cs="Times New Roman"/>
            <w:noProof/>
            <w:sz w:val="24"/>
            <w:szCs w:val="24"/>
          </w:rPr>
          <w:fldChar w:fldCharType="end"/>
        </w:r>
      </w:sdtContent>
    </w:sdt>
  </w:p>
  <w:p w:rsidR="005919D5" w:rsidRDefault="005919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943848"/>
    <w:multiLevelType w:val="hybridMultilevel"/>
    <w:tmpl w:val="B90A6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44C82"/>
    <w:rsid w:val="00003FEE"/>
    <w:rsid w:val="00005928"/>
    <w:rsid w:val="00017888"/>
    <w:rsid w:val="00020D48"/>
    <w:rsid w:val="00031E23"/>
    <w:rsid w:val="00042F1B"/>
    <w:rsid w:val="000568FF"/>
    <w:rsid w:val="00061E5B"/>
    <w:rsid w:val="000B6E44"/>
    <w:rsid w:val="000C1AC6"/>
    <w:rsid w:val="000D342F"/>
    <w:rsid w:val="000D555A"/>
    <w:rsid w:val="000E481A"/>
    <w:rsid w:val="00104E14"/>
    <w:rsid w:val="00122286"/>
    <w:rsid w:val="00123AA8"/>
    <w:rsid w:val="00124C93"/>
    <w:rsid w:val="00125DFB"/>
    <w:rsid w:val="001278BA"/>
    <w:rsid w:val="001435B6"/>
    <w:rsid w:val="00157EC8"/>
    <w:rsid w:val="00176228"/>
    <w:rsid w:val="0018204D"/>
    <w:rsid w:val="00183B10"/>
    <w:rsid w:val="00184AEE"/>
    <w:rsid w:val="00195366"/>
    <w:rsid w:val="001A13A2"/>
    <w:rsid w:val="001E2D4C"/>
    <w:rsid w:val="00226628"/>
    <w:rsid w:val="002848DF"/>
    <w:rsid w:val="00295E3A"/>
    <w:rsid w:val="002A4E3E"/>
    <w:rsid w:val="002A6D84"/>
    <w:rsid w:val="002B0CA5"/>
    <w:rsid w:val="002B4304"/>
    <w:rsid w:val="002D0671"/>
    <w:rsid w:val="002D1ACB"/>
    <w:rsid w:val="002E0F10"/>
    <w:rsid w:val="002F4582"/>
    <w:rsid w:val="002F5B67"/>
    <w:rsid w:val="00312AF5"/>
    <w:rsid w:val="00321B77"/>
    <w:rsid w:val="00322FB2"/>
    <w:rsid w:val="00341559"/>
    <w:rsid w:val="00365B28"/>
    <w:rsid w:val="00371AA3"/>
    <w:rsid w:val="003822DD"/>
    <w:rsid w:val="00384E6A"/>
    <w:rsid w:val="00395788"/>
    <w:rsid w:val="00397D35"/>
    <w:rsid w:val="003E0D4F"/>
    <w:rsid w:val="003E2D20"/>
    <w:rsid w:val="00426AD9"/>
    <w:rsid w:val="00437B54"/>
    <w:rsid w:val="004452C3"/>
    <w:rsid w:val="00474BBD"/>
    <w:rsid w:val="00480884"/>
    <w:rsid w:val="004839A4"/>
    <w:rsid w:val="004955C2"/>
    <w:rsid w:val="004A5746"/>
    <w:rsid w:val="004F0D4B"/>
    <w:rsid w:val="004F3536"/>
    <w:rsid w:val="004F456F"/>
    <w:rsid w:val="005240F7"/>
    <w:rsid w:val="005329DB"/>
    <w:rsid w:val="005375A6"/>
    <w:rsid w:val="00561B4E"/>
    <w:rsid w:val="00580914"/>
    <w:rsid w:val="00580BA2"/>
    <w:rsid w:val="00587CBD"/>
    <w:rsid w:val="005919D5"/>
    <w:rsid w:val="005A0821"/>
    <w:rsid w:val="005A7FDB"/>
    <w:rsid w:val="005B31C7"/>
    <w:rsid w:val="005C68FB"/>
    <w:rsid w:val="005D482B"/>
    <w:rsid w:val="005E5C9E"/>
    <w:rsid w:val="00605564"/>
    <w:rsid w:val="00616606"/>
    <w:rsid w:val="00616E1D"/>
    <w:rsid w:val="0065113A"/>
    <w:rsid w:val="006A5558"/>
    <w:rsid w:val="006B0A1A"/>
    <w:rsid w:val="006E0E61"/>
    <w:rsid w:val="00715AC6"/>
    <w:rsid w:val="007279B7"/>
    <w:rsid w:val="00750B96"/>
    <w:rsid w:val="007629E8"/>
    <w:rsid w:val="007A20C4"/>
    <w:rsid w:val="007A3793"/>
    <w:rsid w:val="007B590F"/>
    <w:rsid w:val="007D5F8A"/>
    <w:rsid w:val="007F025E"/>
    <w:rsid w:val="007F5967"/>
    <w:rsid w:val="0081274A"/>
    <w:rsid w:val="0081337A"/>
    <w:rsid w:val="00844C82"/>
    <w:rsid w:val="0085062B"/>
    <w:rsid w:val="00856640"/>
    <w:rsid w:val="00864939"/>
    <w:rsid w:val="00877537"/>
    <w:rsid w:val="008A7731"/>
    <w:rsid w:val="008E28A7"/>
    <w:rsid w:val="008E7C5E"/>
    <w:rsid w:val="0093149B"/>
    <w:rsid w:val="00946E2A"/>
    <w:rsid w:val="00951175"/>
    <w:rsid w:val="00987993"/>
    <w:rsid w:val="009C2681"/>
    <w:rsid w:val="009E667D"/>
    <w:rsid w:val="00A35E11"/>
    <w:rsid w:val="00A37C49"/>
    <w:rsid w:val="00A63A4F"/>
    <w:rsid w:val="00AA115A"/>
    <w:rsid w:val="00AA588E"/>
    <w:rsid w:val="00AA7F22"/>
    <w:rsid w:val="00AB4407"/>
    <w:rsid w:val="00AD00D7"/>
    <w:rsid w:val="00AE566C"/>
    <w:rsid w:val="00B11246"/>
    <w:rsid w:val="00B4392B"/>
    <w:rsid w:val="00B52795"/>
    <w:rsid w:val="00B73DE7"/>
    <w:rsid w:val="00B93327"/>
    <w:rsid w:val="00BB24BD"/>
    <w:rsid w:val="00BE071C"/>
    <w:rsid w:val="00C242E5"/>
    <w:rsid w:val="00C42C26"/>
    <w:rsid w:val="00C54C7C"/>
    <w:rsid w:val="00C62775"/>
    <w:rsid w:val="00C70754"/>
    <w:rsid w:val="00C87681"/>
    <w:rsid w:val="00CA04AE"/>
    <w:rsid w:val="00CA3B4A"/>
    <w:rsid w:val="00CB2D05"/>
    <w:rsid w:val="00CC397D"/>
    <w:rsid w:val="00CD2401"/>
    <w:rsid w:val="00D00B37"/>
    <w:rsid w:val="00D901DF"/>
    <w:rsid w:val="00D917AF"/>
    <w:rsid w:val="00DC304A"/>
    <w:rsid w:val="00DE5150"/>
    <w:rsid w:val="00DE52C5"/>
    <w:rsid w:val="00DF6F66"/>
    <w:rsid w:val="00E022A0"/>
    <w:rsid w:val="00E63364"/>
    <w:rsid w:val="00EB5793"/>
    <w:rsid w:val="00EB65B8"/>
    <w:rsid w:val="00ED1B07"/>
    <w:rsid w:val="00EE2B92"/>
    <w:rsid w:val="00F12F28"/>
    <w:rsid w:val="00F13B16"/>
    <w:rsid w:val="00F157B3"/>
    <w:rsid w:val="00F4487F"/>
    <w:rsid w:val="00F53307"/>
    <w:rsid w:val="00F71D9A"/>
    <w:rsid w:val="00F82EF9"/>
    <w:rsid w:val="00F87C55"/>
    <w:rsid w:val="00F93771"/>
    <w:rsid w:val="00F95CDE"/>
    <w:rsid w:val="00FA17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E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AF5"/>
    <w:pPr>
      <w:ind w:left="720"/>
      <w:contextualSpacing/>
    </w:pPr>
  </w:style>
  <w:style w:type="paragraph" w:styleId="Header">
    <w:name w:val="header"/>
    <w:basedOn w:val="Normal"/>
    <w:link w:val="HeaderChar"/>
    <w:uiPriority w:val="99"/>
    <w:unhideWhenUsed/>
    <w:rsid w:val="00125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DFB"/>
  </w:style>
  <w:style w:type="paragraph" w:styleId="Footer">
    <w:name w:val="footer"/>
    <w:basedOn w:val="Normal"/>
    <w:link w:val="FooterChar"/>
    <w:uiPriority w:val="99"/>
    <w:unhideWhenUsed/>
    <w:rsid w:val="00125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DFB"/>
  </w:style>
</w:styles>
</file>

<file path=word/webSettings.xml><?xml version="1.0" encoding="utf-8"?>
<w:webSettings xmlns:r="http://schemas.openxmlformats.org/officeDocument/2006/relationships" xmlns:w="http://schemas.openxmlformats.org/wordprocessingml/2006/main">
  <w:divs>
    <w:div w:id="520432786">
      <w:bodyDiv w:val="1"/>
      <w:marLeft w:val="0"/>
      <w:marRight w:val="0"/>
      <w:marTop w:val="0"/>
      <w:marBottom w:val="0"/>
      <w:divBdr>
        <w:top w:val="none" w:sz="0" w:space="0" w:color="auto"/>
        <w:left w:val="none" w:sz="0" w:space="0" w:color="auto"/>
        <w:bottom w:val="none" w:sz="0" w:space="0" w:color="auto"/>
        <w:right w:val="none" w:sz="0" w:space="0" w:color="auto"/>
      </w:divBdr>
      <w:divsChild>
        <w:div w:id="1111509962">
          <w:marLeft w:val="0"/>
          <w:marRight w:val="0"/>
          <w:marTop w:val="0"/>
          <w:marBottom w:val="0"/>
          <w:divBdr>
            <w:top w:val="none" w:sz="0" w:space="0" w:color="auto"/>
            <w:left w:val="none" w:sz="0" w:space="0" w:color="auto"/>
            <w:bottom w:val="none" w:sz="0" w:space="0" w:color="auto"/>
            <w:right w:val="none" w:sz="0" w:space="0" w:color="auto"/>
          </w:divBdr>
        </w:div>
      </w:divsChild>
    </w:div>
    <w:div w:id="595751041">
      <w:bodyDiv w:val="1"/>
      <w:marLeft w:val="0"/>
      <w:marRight w:val="0"/>
      <w:marTop w:val="0"/>
      <w:marBottom w:val="0"/>
      <w:divBdr>
        <w:top w:val="none" w:sz="0" w:space="0" w:color="auto"/>
        <w:left w:val="none" w:sz="0" w:space="0" w:color="auto"/>
        <w:bottom w:val="none" w:sz="0" w:space="0" w:color="auto"/>
        <w:right w:val="none" w:sz="0" w:space="0" w:color="auto"/>
      </w:divBdr>
      <w:divsChild>
        <w:div w:id="669672869">
          <w:marLeft w:val="0"/>
          <w:marRight w:val="0"/>
          <w:marTop w:val="0"/>
          <w:marBottom w:val="0"/>
          <w:divBdr>
            <w:top w:val="none" w:sz="0" w:space="0" w:color="auto"/>
            <w:left w:val="none" w:sz="0" w:space="0" w:color="auto"/>
            <w:bottom w:val="none" w:sz="0" w:space="0" w:color="auto"/>
            <w:right w:val="none" w:sz="0" w:space="0" w:color="auto"/>
          </w:divBdr>
        </w:div>
      </w:divsChild>
    </w:div>
    <w:div w:id="641351231">
      <w:bodyDiv w:val="1"/>
      <w:marLeft w:val="0"/>
      <w:marRight w:val="0"/>
      <w:marTop w:val="0"/>
      <w:marBottom w:val="0"/>
      <w:divBdr>
        <w:top w:val="none" w:sz="0" w:space="0" w:color="auto"/>
        <w:left w:val="none" w:sz="0" w:space="0" w:color="auto"/>
        <w:bottom w:val="none" w:sz="0" w:space="0" w:color="auto"/>
        <w:right w:val="none" w:sz="0" w:space="0" w:color="auto"/>
      </w:divBdr>
      <w:divsChild>
        <w:div w:id="1490559019">
          <w:marLeft w:val="0"/>
          <w:marRight w:val="0"/>
          <w:marTop w:val="0"/>
          <w:marBottom w:val="0"/>
          <w:divBdr>
            <w:top w:val="none" w:sz="0" w:space="0" w:color="auto"/>
            <w:left w:val="none" w:sz="0" w:space="0" w:color="auto"/>
            <w:bottom w:val="none" w:sz="0" w:space="0" w:color="auto"/>
            <w:right w:val="none" w:sz="0" w:space="0" w:color="auto"/>
          </w:divBdr>
        </w:div>
      </w:divsChild>
    </w:div>
    <w:div w:id="2081168933">
      <w:bodyDiv w:val="1"/>
      <w:marLeft w:val="0"/>
      <w:marRight w:val="0"/>
      <w:marTop w:val="0"/>
      <w:marBottom w:val="0"/>
      <w:divBdr>
        <w:top w:val="none" w:sz="0" w:space="0" w:color="auto"/>
        <w:left w:val="none" w:sz="0" w:space="0" w:color="auto"/>
        <w:bottom w:val="none" w:sz="0" w:space="0" w:color="auto"/>
        <w:right w:val="none" w:sz="0" w:space="0" w:color="auto"/>
      </w:divBdr>
      <w:divsChild>
        <w:div w:id="565190972">
          <w:marLeft w:val="0"/>
          <w:marRight w:val="0"/>
          <w:marTop w:val="0"/>
          <w:marBottom w:val="0"/>
          <w:divBdr>
            <w:top w:val="none" w:sz="0" w:space="0" w:color="auto"/>
            <w:left w:val="none" w:sz="0" w:space="0" w:color="auto"/>
            <w:bottom w:val="none" w:sz="0" w:space="0" w:color="auto"/>
            <w:right w:val="none" w:sz="0" w:space="0" w:color="auto"/>
          </w:divBdr>
        </w:div>
      </w:divsChild>
    </w:div>
    <w:div w:id="2089954826">
      <w:bodyDiv w:val="1"/>
      <w:marLeft w:val="0"/>
      <w:marRight w:val="0"/>
      <w:marTop w:val="0"/>
      <w:marBottom w:val="0"/>
      <w:divBdr>
        <w:top w:val="none" w:sz="0" w:space="0" w:color="auto"/>
        <w:left w:val="none" w:sz="0" w:space="0" w:color="auto"/>
        <w:bottom w:val="none" w:sz="0" w:space="0" w:color="auto"/>
        <w:right w:val="none" w:sz="0" w:space="0" w:color="auto"/>
      </w:divBdr>
      <w:divsChild>
        <w:div w:id="1893031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Ojwang</dc:creator>
  <cp:lastModifiedBy>user</cp:lastModifiedBy>
  <cp:revision>2</cp:revision>
  <dcterms:created xsi:type="dcterms:W3CDTF">2018-01-03T17:18:00Z</dcterms:created>
  <dcterms:modified xsi:type="dcterms:W3CDTF">2018-01-03T17:18:00Z</dcterms:modified>
</cp:coreProperties>
</file>